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89" w:rsidRPr="00AA0C31" w:rsidRDefault="004914D6" w:rsidP="004A7114">
      <w:pPr>
        <w:tabs>
          <w:tab w:val="left" w:pos="7088"/>
        </w:tabs>
        <w:spacing w:after="0" w:line="36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ЗАТВЕРДЖЕНО </w:t>
      </w:r>
      <w:r w:rsidR="00B701C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</w:p>
    <w:p w:rsidR="004914D6" w:rsidRPr="00AA0C31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сімнадцятої позачергової сесії </w:t>
      </w: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</w:p>
    <w:p w:rsidR="00C73389" w:rsidRPr="00AA0C31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Новгород-Сіверської </w:t>
      </w:r>
    </w:p>
    <w:p w:rsidR="00C73389" w:rsidRPr="00AA0C31" w:rsidRDefault="004914D6" w:rsidP="004A7114">
      <w:pPr>
        <w:spacing w:after="0" w:line="36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>міської ради VIII скликання</w:t>
      </w:r>
    </w:p>
    <w:p w:rsidR="00C73389" w:rsidRPr="00AA0C31" w:rsidRDefault="004914D6" w:rsidP="004A7114">
      <w:pPr>
        <w:spacing w:after="0" w:line="36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>20 липня 2022 року № 667</w:t>
      </w:r>
    </w:p>
    <w:p w:rsidR="004A7114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>(в редакції рішення 18-ої позачергової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4A711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сесії Новгород-Сіверської міської </w:t>
      </w:r>
      <w:r w:rsidR="004A711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677BC1" w:rsidRPr="00AA0C31" w:rsidRDefault="004A7114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ради VIIІ скликання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83596E" w:rsidRDefault="004914D6" w:rsidP="0083596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BB6E3A">
        <w:rPr>
          <w:rFonts w:ascii="Times New Roman" w:hAnsi="Times New Roman"/>
          <w:color w:val="000000"/>
          <w:sz w:val="24"/>
          <w:szCs w:val="24"/>
          <w:lang w:val="uk-UA"/>
        </w:rPr>
        <w:t>01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B6E3A">
        <w:rPr>
          <w:rFonts w:ascii="Times New Roman" w:hAnsi="Times New Roman"/>
          <w:color w:val="000000"/>
          <w:sz w:val="24"/>
          <w:szCs w:val="24"/>
          <w:lang w:val="uk-UA"/>
        </w:rPr>
        <w:t>листопада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2022 року № </w:t>
      </w:r>
      <w:r w:rsidR="00BB6E3A">
        <w:rPr>
          <w:rFonts w:ascii="Times New Roman" w:hAnsi="Times New Roman"/>
          <w:color w:val="000000"/>
          <w:sz w:val="24"/>
          <w:szCs w:val="24"/>
          <w:lang w:val="uk-UA"/>
        </w:rPr>
        <w:t>705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C73389" w:rsidRPr="0083596E" w:rsidRDefault="00677BC1" w:rsidP="0083596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9"/>
        <w:gridCol w:w="4685"/>
      </w:tblGrid>
      <w:tr w:rsidR="00A2703B" w:rsidRPr="00AA0C31" w:rsidTr="00AA0C31">
        <w:trPr>
          <w:trHeight w:val="2304"/>
          <w:jc w:val="center"/>
        </w:trPr>
        <w:tc>
          <w:tcPr>
            <w:tcW w:w="52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AA0C31" w:rsidRDefault="00A2703B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1934"/>
            <w:bookmarkEnd w:id="0"/>
            <w:r w:rsidRPr="00AA0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A2703B" w:rsidRPr="00AA0C31" w:rsidRDefault="00A2703B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A2703B" w:rsidRPr="00AA0C31" w:rsidRDefault="00A2703B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</w:t>
            </w:r>
            <w:r w:rsidR="00FD1436"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І. Пузирей</w:t>
            </w: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(найменування уповноваженого органу, який розглянув фінансовий план)</w:t>
            </w:r>
          </w:p>
          <w:p w:rsidR="00A2703B" w:rsidRPr="00AA0C31" w:rsidRDefault="00FD1436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1" w:name="1935"/>
            <w:bookmarkEnd w:id="1"/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AA0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Заступник міського голови</w:t>
            </w:r>
            <w:r w:rsidR="00AA0C31" w:rsidRPr="00AA0C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A0C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питань діяльності виконавчих органів міської ради</w:t>
            </w:r>
          </w:p>
          <w:p w:rsidR="00FD1436" w:rsidRPr="00AA0C31" w:rsidRDefault="00A2703B" w:rsidP="00FD14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</w:t>
            </w:r>
            <w:r w:rsidR="00FD143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</w:t>
            </w:r>
            <w:r w:rsidR="00FD1436" w:rsidRPr="00AA0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Йожиков</w:t>
            </w:r>
          </w:p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7" w:name="1943"/>
            <w:bookmarkEnd w:id="7"/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  <w:p w:rsidR="00A2703B" w:rsidRPr="00AA0C31" w:rsidRDefault="00AA0C31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AA0C31" w:rsidRDefault="00AA0C31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914D6" w:rsidRPr="00AA0C31" w:rsidRDefault="004914D6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П.</w:t>
            </w:r>
          </w:p>
        </w:tc>
      </w:tr>
    </w:tbl>
    <w:p w:rsidR="00A2703B" w:rsidRPr="00AA0C31" w:rsidRDefault="00A2703B" w:rsidP="00A2703B">
      <w:pPr>
        <w:spacing w:after="0"/>
        <w:rPr>
          <w:vanish/>
          <w:lang w:val="uk-UA"/>
        </w:rPr>
      </w:pPr>
    </w:p>
    <w:tbl>
      <w:tblPr>
        <w:tblpPr w:leftFromText="180" w:rightFromText="180" w:vertAnchor="text" w:horzAnchor="margin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1A0522" w:rsidRPr="00AA0C31" w:rsidTr="001A0522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1A0522" w:rsidRPr="00AA0C31" w:rsidTr="001A0522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2022</w:t>
            </w:r>
          </w:p>
        </w:tc>
      </w:tr>
      <w:tr w:rsidR="001A0522" w:rsidRPr="00AA0C31" w:rsidTr="001A0522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Підприємство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4914D6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Орган управління: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4914D6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Галузь: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1A0522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економічної діяльності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1A0522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16000, Чернігівська обл., м. Новгород-Сіверський, 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A0522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A0522" w:rsidRPr="00BB6E3A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3596E" w:rsidRPr="004A7114" w:rsidRDefault="0083596E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7"/>
          <w:lang w:val="uk-UA" w:eastAsia="ru-RU"/>
        </w:rPr>
      </w:pPr>
    </w:p>
    <w:p w:rsidR="00A2703B" w:rsidRPr="00C60974" w:rsidRDefault="00A2703B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0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ФІНАНСОВИЙ ПЛАН ПІДПРИЄМСТВА НА 2022 РІК</w:t>
      </w:r>
      <w:r w:rsidRPr="00C60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br/>
      </w:r>
      <w:bookmarkStart w:id="8" w:name="1948"/>
      <w:bookmarkEnd w:id="8"/>
      <w:r w:rsidRPr="00C60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Основні фінансові показники</w:t>
      </w:r>
    </w:p>
    <w:p w:rsidR="00A2703B" w:rsidRPr="00AA0C31" w:rsidRDefault="00A2703B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AA0C31">
        <w:rPr>
          <w:rFonts w:ascii="Times New Roman" w:eastAsia="Times New Roman" w:hAnsi="Times New Roman"/>
          <w:sz w:val="27"/>
          <w:szCs w:val="27"/>
          <w:lang w:val="uk-UA" w:eastAsia="ru-RU"/>
        </w:rPr>
        <w:t>Одиниці виміру: тис. гривень</w:t>
      </w:r>
    </w:p>
    <w:tbl>
      <w:tblPr>
        <w:tblW w:w="11027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5"/>
        <w:gridCol w:w="567"/>
        <w:gridCol w:w="992"/>
        <w:gridCol w:w="992"/>
        <w:gridCol w:w="992"/>
        <w:gridCol w:w="993"/>
        <w:gridCol w:w="992"/>
        <w:gridCol w:w="992"/>
        <w:gridCol w:w="992"/>
      </w:tblGrid>
      <w:tr w:rsidR="00A2703B" w:rsidRPr="00BB6E3A" w:rsidTr="00CD5AAD">
        <w:tc>
          <w:tcPr>
            <w:tcW w:w="351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18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396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18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A2703B" w:rsidRPr="00AA0C31" w:rsidTr="00CD5AAD">
        <w:trPr>
          <w:trHeight w:val="770"/>
        </w:trPr>
        <w:tc>
          <w:tcPr>
            <w:tcW w:w="3515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9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</w:tr>
      <w:tr w:rsidR="00A2703B" w:rsidRPr="00AA0C31" w:rsidTr="00AA0C31">
        <w:trPr>
          <w:trHeight w:val="329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491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І. Формування прибутку підприємства</w:t>
            </w:r>
          </w:p>
        </w:tc>
      </w:tr>
      <w:tr w:rsidR="00A2703B" w:rsidRPr="00AA0C31" w:rsidTr="00CD5AAD">
        <w:trPr>
          <w:trHeight w:val="60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rPr>
          <w:trHeight w:val="689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1719360,00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2668935,51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2965216,00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780000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73</w:t>
            </w: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72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0000,00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735216,00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4A53D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4A53D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286560,00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444822,58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494202,67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96347D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130000,00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122536,00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14</w:t>
            </w:r>
            <w:r w:rsidR="00A2703B"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32800,00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360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2224112,93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2471013,33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96347D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608333,33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612680,00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400000,0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5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977B89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</w:t>
            </w:r>
            <w:r w:rsidR="00EB45BC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45001,86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150000,00 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C54D4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</w:t>
            </w: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195001,86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1832800,00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2724112,93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EB45BC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3316015,19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47D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758333,33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950000,00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807681,86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1637600,00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2230511,23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2703B" w:rsidRPr="00AA0C31" w:rsidRDefault="00EB45BC" w:rsidP="00677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2547025,86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66</w:t>
            </w:r>
            <w:r w:rsidR="00A2703B"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62</w:t>
            </w:r>
            <w:r w:rsidR="00A2703B"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63000</w:t>
            </w:r>
            <w:r w:rsidR="00A2703B"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637025,86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375900,00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475800,00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515450,00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134810,00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142740,00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</w:t>
            </w:r>
            <w:r w:rsidR="00977B89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</w:t>
            </w:r>
            <w:r w:rsidR="00977B89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2013500,00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2706311,23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3262475,86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778950,00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4810,00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948950,00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779765,86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 xml:space="preserve"> -204800,00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873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-6398,30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-76012,53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BE3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</w:t>
            </w:r>
            <w:r w:rsidR="0096347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-3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-24345,86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BE36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995E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204800,00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6398,30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76012,53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BE3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24345,86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  <w:r w:rsidR="00067C43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3523,33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3523,33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3523,33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3523,33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3204,31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9637,08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70D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3789,00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634,20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5024,88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14597,39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43902,25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17261,00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2889,13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861,00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22891,12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BB6E3A" w:rsidTr="00AA0C31">
        <w:trPr>
          <w:trHeight w:val="375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II. Елементи операційних витрат (разом)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Матеріальні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F74A0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176104,41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350996,40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067C43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270000,00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</w:t>
            </w:r>
            <w:r w:rsidR="00A2703B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</w:t>
            </w:r>
            <w:r w:rsidR="00A2703B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</w:t>
            </w: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986786,20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1324028,55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1571700,00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380000,00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400000,00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391700,00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218204,39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291286,28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345774,00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83600,00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88000,00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88000,00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86174,00 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232405,00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240000,00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230000,00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500000,00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977B89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="00EB45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45001,86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150000,00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1C54D4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195001,86</w:t>
            </w:r>
          </w:p>
        </w:tc>
      </w:tr>
      <w:tr w:rsidR="00A2703B" w:rsidRPr="00AA0C31" w:rsidTr="00CD5AAD">
        <w:trPr>
          <w:trHeight w:val="60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290</w:t>
            </w: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2013500,0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187360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2706311,23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3262475,86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738600,00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763000,00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963000</w:t>
            </w:r>
            <w:r w:rsidR="00A2703B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797875,86</w:t>
            </w:r>
          </w:p>
        </w:tc>
      </w:tr>
      <w:tr w:rsidR="00A2703B" w:rsidRPr="00AA0C31" w:rsidTr="00AA0C31">
        <w:trPr>
          <w:trHeight w:val="465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2703B" w:rsidRPr="00AA0C31" w:rsidTr="004914D6">
        <w:trPr>
          <w:trHeight w:val="926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3204,31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9637,08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2289,00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334,20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1389,00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5624,88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F74A0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286560,00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444822,58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494202,67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13B8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122536,00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податки, у тому числі</w:t>
            </w: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 xml:space="preserve">погашення </w:t>
            </w:r>
            <w:proofErr w:type="spellStart"/>
            <w:r w:rsidRPr="00AA0C31">
              <w:rPr>
                <w:rFonts w:ascii="Times New Roman" w:eastAsia="Times New Roman" w:hAnsi="Times New Roman"/>
                <w:lang w:val="uk-UA" w:eastAsia="ru-RU"/>
              </w:rPr>
              <w:t>реструктуризованих</w:t>
            </w:r>
            <w:proofErr w:type="spellEnd"/>
            <w:r w:rsidRPr="00AA0C31">
              <w:rPr>
                <w:rFonts w:ascii="Times New Roman" w:eastAsia="Times New Roman" w:hAnsi="Times New Roman"/>
                <w:lang w:val="uk-UA" w:eastAsia="ru-RU"/>
              </w:rPr>
              <w:t xml:space="preserve"> та</w:t>
            </w: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904B4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259089,15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341286,28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</w:t>
            </w:r>
            <w:r w:rsidR="008B4D17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5774,00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  <w:r w:rsidR="008B4D17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101500,00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102500,00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98</w:t>
            </w:r>
            <w:r w:rsidR="006D516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174,00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F74A0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218204,39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291286,28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345774,00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88000,00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88000,00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86174,00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904B4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40884,76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8B4D17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12000,00</w:t>
            </w:r>
          </w:p>
        </w:tc>
      </w:tr>
      <w:tr w:rsidR="00A2703B" w:rsidRPr="00BB6E3A" w:rsidTr="003273D2">
        <w:trPr>
          <w:trHeight w:val="413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IV. Капітальні інвестиції протягом року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45000,00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371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 xml:space="preserve">Модернізація, модифікація, дообладнання, реконструкція, інші </w:t>
            </w: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380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3273D2">
        <w:trPr>
          <w:trHeight w:val="343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327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V. Додаткова інформація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2305476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2305476</w:t>
            </w:r>
            <w:r w:rsidR="00C372C3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6D516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2968942,</w:t>
            </w: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6D516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692235,58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6D516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692235,58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16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892235,58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6D516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692235,59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3596E" w:rsidRDefault="0083596E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83596E" w:rsidRDefault="0083596E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A7114" w:rsidRPr="004A7114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 xml:space="preserve">Директор                                          </w:t>
      </w:r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 xml:space="preserve">                             </w:t>
      </w:r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ab/>
        <w:t xml:space="preserve">О. </w:t>
      </w:r>
      <w:bookmarkStart w:id="9" w:name="_GoBack"/>
      <w:bookmarkEnd w:id="9"/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>Денисенко</w:t>
      </w:r>
    </w:p>
    <w:p w:rsidR="004A7114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</w:p>
    <w:p w:rsidR="006D516C" w:rsidRPr="004A7114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>Секретар міської ради</w:t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  <w:t>Ю. Лакоза</w:t>
      </w: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E94276" w:rsidRPr="00AA0C31" w:rsidRDefault="00E94276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8040A5" w:rsidRPr="00AA0C31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040A5" w:rsidRPr="00AA0C31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040A5" w:rsidRPr="00AA0C31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914D6" w:rsidRPr="00AA0C31" w:rsidRDefault="004914D6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596E" w:rsidRDefault="0083596E" w:rsidP="00E6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83596E" w:rsidSect="0083596E">
      <w:pgSz w:w="12240" w:h="15840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04B8"/>
    <w:rsid w:val="0002670D"/>
    <w:rsid w:val="00067C43"/>
    <w:rsid w:val="000904B4"/>
    <w:rsid w:val="000C1F17"/>
    <w:rsid w:val="000C4ABB"/>
    <w:rsid w:val="00184850"/>
    <w:rsid w:val="00187360"/>
    <w:rsid w:val="001A0522"/>
    <w:rsid w:val="001C54D4"/>
    <w:rsid w:val="00213B8D"/>
    <w:rsid w:val="0028047C"/>
    <w:rsid w:val="003273D2"/>
    <w:rsid w:val="003864AC"/>
    <w:rsid w:val="004914D6"/>
    <w:rsid w:val="004972CD"/>
    <w:rsid w:val="004A5391"/>
    <w:rsid w:val="004A53DC"/>
    <w:rsid w:val="004A7114"/>
    <w:rsid w:val="004E21CA"/>
    <w:rsid w:val="004E5DB9"/>
    <w:rsid w:val="00565AAA"/>
    <w:rsid w:val="006251E7"/>
    <w:rsid w:val="00677BC1"/>
    <w:rsid w:val="006D516C"/>
    <w:rsid w:val="006E04B8"/>
    <w:rsid w:val="00711682"/>
    <w:rsid w:val="00753776"/>
    <w:rsid w:val="00777FAA"/>
    <w:rsid w:val="007A0914"/>
    <w:rsid w:val="007F4545"/>
    <w:rsid w:val="008040A5"/>
    <w:rsid w:val="0083596E"/>
    <w:rsid w:val="00837B0F"/>
    <w:rsid w:val="008B4D17"/>
    <w:rsid w:val="00911935"/>
    <w:rsid w:val="00941026"/>
    <w:rsid w:val="0096347D"/>
    <w:rsid w:val="00977B89"/>
    <w:rsid w:val="00995EF8"/>
    <w:rsid w:val="00A10C48"/>
    <w:rsid w:val="00A2703B"/>
    <w:rsid w:val="00A4455C"/>
    <w:rsid w:val="00AA0C31"/>
    <w:rsid w:val="00AE376A"/>
    <w:rsid w:val="00B6712E"/>
    <w:rsid w:val="00B701CC"/>
    <w:rsid w:val="00B7103A"/>
    <w:rsid w:val="00B71DD4"/>
    <w:rsid w:val="00B72061"/>
    <w:rsid w:val="00BA28C3"/>
    <w:rsid w:val="00BB6E3A"/>
    <w:rsid w:val="00BE3626"/>
    <w:rsid w:val="00C23183"/>
    <w:rsid w:val="00C372C3"/>
    <w:rsid w:val="00C60974"/>
    <w:rsid w:val="00C73389"/>
    <w:rsid w:val="00CB1AE5"/>
    <w:rsid w:val="00CD5AAD"/>
    <w:rsid w:val="00D25FCB"/>
    <w:rsid w:val="00D32982"/>
    <w:rsid w:val="00DD4122"/>
    <w:rsid w:val="00E6052E"/>
    <w:rsid w:val="00E94276"/>
    <w:rsid w:val="00E96CF5"/>
    <w:rsid w:val="00EB45BC"/>
    <w:rsid w:val="00F74A0C"/>
    <w:rsid w:val="00FD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A293-F86A-4138-B41A-9D67B307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4980</Words>
  <Characters>2840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23</cp:revision>
  <cp:lastPrinted>2022-09-28T13:48:00Z</cp:lastPrinted>
  <dcterms:created xsi:type="dcterms:W3CDTF">2022-09-29T08:50:00Z</dcterms:created>
  <dcterms:modified xsi:type="dcterms:W3CDTF">2022-11-04T09:05:00Z</dcterms:modified>
</cp:coreProperties>
</file>